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2E" w:rsidRDefault="00F5473A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2E" w:rsidRDefault="00E95749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D97E2E" w:rsidRDefault="00E95749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749">
        <w:rPr>
          <w:rFonts w:ascii="Times New Roman" w:hAnsi="Times New Roman" w:cs="Times New Roman"/>
          <w:b/>
          <w:bCs/>
          <w:spacing w:val="120"/>
          <w:sz w:val="24"/>
          <w:szCs w:val="24"/>
        </w:rPr>
        <w:t>ПЛОВДИВСКИ УНИВЕРСИТЕТ</w:t>
      </w:r>
    </w:p>
    <w:p w:rsidR="00D97E2E" w:rsidRDefault="00E95749">
      <w:pPr>
        <w:spacing w:after="0"/>
        <w:jc w:val="right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”ПАИСИЙ ХИЛЕНДАРСКИ”</w:t>
      </w:r>
    </w:p>
    <w:p w:rsidR="00D97E2E" w:rsidRPr="0075529E" w:rsidRDefault="00F5473A" w:rsidP="0075529E">
      <w:pPr>
        <w:spacing w:after="0" w:line="240" w:lineRule="auto"/>
        <w:ind w:left="1440" w:firstLine="72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CF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E95749">
        <w:rPr>
          <w:rFonts w:ascii="Times New Roman" w:hAnsi="Times New Roman" w:cs="Times New Roman"/>
          <w:sz w:val="24"/>
          <w:szCs w:val="24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 xml:space="preserve">България 4000  гр. Пловдив ул. “Цар Асен” № 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E95749" w:rsidRPr="0075529E">
        <w:rPr>
          <w:rFonts w:ascii="Times New Roman" w:hAnsi="Times New Roman" w:cs="Times New Roman"/>
          <w:sz w:val="20"/>
          <w:szCs w:val="20"/>
        </w:rPr>
        <w:t>;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 xml:space="preserve"> Централа: (032) 261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>261</w:t>
      </w:r>
    </w:p>
    <w:p w:rsidR="00D97E2E" w:rsidRPr="0075529E" w:rsidRDefault="00E95749" w:rsidP="0075529E">
      <w:pPr>
        <w:spacing w:after="0" w:line="240" w:lineRule="auto"/>
        <w:jc w:val="right"/>
        <w:rPr>
          <w:sz w:val="20"/>
          <w:szCs w:val="20"/>
        </w:rPr>
      </w:pPr>
      <w:r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75529E">
        <w:rPr>
          <w:rFonts w:ascii="Times New Roman" w:hAnsi="Times New Roman" w:cs="Times New Roman"/>
          <w:sz w:val="20"/>
          <w:szCs w:val="20"/>
        </w:rPr>
        <w:t xml:space="preserve">Декан: (032) 261 402  факс (032) 261 403 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5529E">
        <w:rPr>
          <w:rFonts w:ascii="Times New Roman" w:hAnsi="Times New Roman" w:cs="Times New Roman"/>
          <w:sz w:val="20"/>
          <w:szCs w:val="20"/>
        </w:rPr>
        <w:t>-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5529E">
        <w:rPr>
          <w:rFonts w:ascii="Times New Roman" w:hAnsi="Times New Roman" w:cs="Times New Roman"/>
          <w:sz w:val="20"/>
          <w:szCs w:val="20"/>
        </w:rPr>
        <w:t>: chemistry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uni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plovdiv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bg</w:t>
      </w:r>
    </w:p>
    <w:p w:rsidR="00D97E2E" w:rsidRDefault="00D9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2E" w:rsidRPr="00BF1ABD" w:rsidRDefault="00D97E2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16"/>
          <w:szCs w:val="16"/>
        </w:rPr>
      </w:pPr>
    </w:p>
    <w:p w:rsidR="00D97E2E" w:rsidRPr="00BF1ABD" w:rsidRDefault="00E95749">
      <w:pPr>
        <w:jc w:val="center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BF1ABD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D97E2E" w:rsidRPr="00BF1ABD" w:rsidRDefault="00E95749">
      <w:pPr>
        <w:jc w:val="center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D97E2E" w:rsidRPr="00BF1ABD" w:rsidRDefault="00E95749">
      <w:pPr>
        <w:jc w:val="center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D97E2E" w:rsidRPr="00BF1ABD" w:rsidRDefault="00E95749">
      <w:pPr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BF1ABD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D97E2E" w:rsidRPr="00BF1ABD" w:rsidRDefault="00E95749">
      <w:pPr>
        <w:spacing w:line="240" w:lineRule="auto"/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Cs/>
          <w:color w:val="000000"/>
          <w:sz w:val="24"/>
          <w:szCs w:val="24"/>
        </w:rPr>
        <w:t>Учител по химия (</w:t>
      </w:r>
      <w:r w:rsidR="00B91F9B">
        <w:rPr>
          <w:rFonts w:asciiTheme="minorHAnsi" w:hAnsiTheme="minorHAnsi" w:cstheme="minorHAnsi"/>
          <w:bCs/>
          <w:color w:val="000000"/>
          <w:sz w:val="24"/>
          <w:szCs w:val="24"/>
        </w:rPr>
        <w:t>не</w:t>
      </w:r>
      <w:r w:rsidRPr="00BF1A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DD5AE8" w:rsidRPr="00BF1ABD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Pr="00BF1A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редовно обучение)</w:t>
      </w:r>
    </w:p>
    <w:p w:rsidR="00D97E2E" w:rsidRPr="00BF1ABD" w:rsidRDefault="00E957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D97E2E" w:rsidRPr="00BF1ABD" w:rsidRDefault="00E95749">
      <w:pPr>
        <w:spacing w:line="240" w:lineRule="auto"/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Рефлексията в обучението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D97E2E" w:rsidRPr="00BF1ABD" w:rsidRDefault="00D97E2E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D97E2E" w:rsidRPr="00BF1ABD" w:rsidRDefault="00E95749" w:rsidP="00482B0C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Факултативен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D97E2E" w:rsidRPr="00BF1ABD" w:rsidRDefault="00E95749" w:rsidP="0075529E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D97E2E" w:rsidRPr="00BF1ABD" w:rsidRDefault="00B91F9B" w:rsidP="0075529E">
      <w:pPr>
        <w:spacing w:before="120" w:after="120"/>
        <w:ind w:firstLine="7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Втора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D97E2E" w:rsidRPr="00BF1ABD" w:rsidRDefault="00E95749" w:rsidP="0075529E">
      <w:pPr>
        <w:spacing w:before="120" w:after="120" w:line="240" w:lineRule="auto"/>
        <w:ind w:firstLine="706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color w:val="000000"/>
          <w:sz w:val="24"/>
          <w:szCs w:val="24"/>
          <w:lang w:val="en-US"/>
        </w:rPr>
        <w:t>I</w:t>
      </w:r>
      <w:r w:rsidR="00B91F9B">
        <w:rPr>
          <w:rFonts w:asciiTheme="minorHAnsi" w:hAnsiTheme="minorHAnsi" w:cstheme="minorHAnsi"/>
          <w:color w:val="000000"/>
          <w:sz w:val="24"/>
          <w:szCs w:val="24"/>
          <w:lang w:val="en-US"/>
        </w:rPr>
        <w:t>V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D97E2E" w:rsidRPr="00BF1ABD" w:rsidRDefault="00E95749" w:rsidP="00482B0C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  <w:lang w:val="en-US"/>
        </w:rPr>
        <w:t>1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Име на лектора</w:t>
      </w:r>
    </w:p>
    <w:p w:rsidR="00D97E2E" w:rsidRPr="00BF1ABD" w:rsidRDefault="00E95749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доц. д-р Й. Димова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D97E2E" w:rsidRPr="00BF1ABD" w:rsidRDefault="00E95749">
      <w:pPr>
        <w:spacing w:before="120" w:after="6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D97E2E" w:rsidRPr="00BF1ABD" w:rsidRDefault="00E9574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F1ABD">
        <w:rPr>
          <w:rFonts w:asciiTheme="minorHAnsi" w:hAnsiTheme="minorHAnsi" w:cstheme="minorHAnsi"/>
          <w:color w:val="000000"/>
          <w:sz w:val="24"/>
          <w:szCs w:val="24"/>
        </w:rPr>
        <w:t>Успешно завършилите обучението по тази дисциплина:</w:t>
      </w:r>
    </w:p>
    <w:p w:rsidR="00D97E2E" w:rsidRPr="00BF1ABD" w:rsidRDefault="00E95749">
      <w:pPr>
        <w:spacing w:before="120" w:after="60"/>
        <w:ind w:left="1440" w:hanging="144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BF1A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97E2E" w:rsidRPr="00BF1ABD" w:rsidRDefault="00E95749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същност и типология на рефлексията като психологически феномен;</w:t>
      </w:r>
    </w:p>
    <w:p w:rsidR="00D97E2E" w:rsidRPr="00BF1ABD" w:rsidRDefault="00E95749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основни характеристики на субекта/личността, като изпълнител на социални роли – учител, възпитател, ученик, възпитаник; </w:t>
      </w:r>
    </w:p>
    <w:p w:rsidR="00D97E2E" w:rsidRPr="00BF1ABD" w:rsidRDefault="00E95749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характерните особености на подходите, принципите и педагогическите технологии, активизиращи рефлексията в обучението</w:t>
      </w:r>
      <w:r w:rsidRPr="00BF1ABD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D97E2E" w:rsidRPr="00BF1ABD" w:rsidRDefault="00E95749">
      <w:pPr>
        <w:spacing w:after="60"/>
        <w:ind w:left="1440" w:hanging="144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BF1A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97E2E" w:rsidRPr="00BF1ABD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да осъзнават рефлексивни актове при четене, писане, работа с книга, работа с данни от Интернет; </w:t>
      </w:r>
    </w:p>
    <w:p w:rsidR="00D97E2E" w:rsidRPr="00BF1ABD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да слушат рефлексивно събеседниците си (в т.ч. – учениците си); </w:t>
      </w:r>
    </w:p>
    <w:p w:rsidR="00D97E2E" w:rsidRPr="00BF1ABD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да работят ефективно в група/в екип, свободно да водят диалог/полилог; </w:t>
      </w:r>
    </w:p>
    <w:p w:rsidR="00D97E2E" w:rsidRPr="00BF1ABD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да управляват рефлексивно учебната дейност в класната стая; </w:t>
      </w:r>
    </w:p>
    <w:p w:rsidR="00D97E2E" w:rsidRPr="00BF1ABD" w:rsidRDefault="00E9574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>да се самонаблюдават, самоанализират, самоописват, самооценяват и пр.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D97E2E" w:rsidRPr="00BF1ABD" w:rsidTr="00D97E2E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2E" w:rsidRPr="00BF1ABD" w:rsidRDefault="00DD5A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E95749" w:rsidRPr="00BF1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E95749" w:rsidRPr="00BF1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  <w:r w:rsidR="00E95749" w:rsidRPr="00BF1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D97E2E" w:rsidRPr="00BF1ABD" w:rsidRDefault="00DD5AE8" w:rsidP="00DD5AE8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●</w:t>
            </w:r>
            <w:r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95749"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Лекции (</w:t>
            </w:r>
            <w:r w:rsidR="00E95749" w:rsidRPr="00BF1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="00E95749"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D97E2E" w:rsidRPr="00BF1ABD" w:rsidRDefault="00D97E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2E" w:rsidRPr="00BF1ABD" w:rsidRDefault="00E95749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15 ч.</w:t>
            </w:r>
          </w:p>
          <w:p w:rsidR="00D97E2E" w:rsidRPr="00BF1ABD" w:rsidRDefault="00E9574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Рефлексивно портфолио</w:t>
            </w:r>
          </w:p>
          <w:p w:rsidR="00D97E2E" w:rsidRPr="00BF1ABD" w:rsidRDefault="00E9574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BF1ABD" w:rsidRPr="00BF1ABD" w:rsidRDefault="00DD5AE8" w:rsidP="00BF1ABD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1ABD" w:rsidRPr="00BF1ABD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BF1ABD" w:rsidRPr="00BF1ABD" w:rsidRDefault="00BF1ABD" w:rsidP="00BF1ABD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физикохимия;</w:t>
      </w:r>
    </w:p>
    <w:p w:rsidR="00BF1ABD" w:rsidRPr="00BF1ABD" w:rsidRDefault="00E95749" w:rsidP="00BF1ABD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основни понятия и закономерности от областите на психологията и на педагогиката;</w:t>
      </w:r>
    </w:p>
    <w:p w:rsidR="00D97E2E" w:rsidRPr="00BF1ABD" w:rsidRDefault="00E95749" w:rsidP="00BF1ABD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трябва да могат: да подготвят и провеждат различни типове уроци по химия, да анализират основните</w:t>
      </w:r>
      <w:r w:rsidRPr="00BF1ABD">
        <w:rPr>
          <w:sz w:val="24"/>
          <w:szCs w:val="24"/>
        </w:rPr>
        <w:t xml:space="preserve"> дейности при наблюдение и при изнасяне на урок по химия.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D97E2E" w:rsidRPr="00BF1ABD" w:rsidRDefault="00E95749">
      <w:pPr>
        <w:spacing w:after="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BF1ABD">
        <w:rPr>
          <w:rFonts w:asciiTheme="minorHAnsi" w:hAnsiTheme="minorHAnsi" w:cstheme="minorHAnsi"/>
          <w:sz w:val="24"/>
          <w:szCs w:val="24"/>
        </w:rPr>
        <w:t>-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D97E2E" w:rsidRPr="00BF1ABD" w:rsidRDefault="00E95749">
      <w:pPr>
        <w:pStyle w:val="BodyTextIndent3"/>
        <w:numPr>
          <w:ilvl w:val="0"/>
          <w:numId w:val="4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 w:rsidRPr="00BF1ABD">
        <w:rPr>
          <w:rFonts w:asciiTheme="minorHAnsi" w:hAnsiTheme="minorHAnsi" w:cstheme="minorHAnsi"/>
          <w:sz w:val="24"/>
          <w:szCs w:val="24"/>
          <w:lang w:val="ru-RU"/>
        </w:rPr>
        <w:t>дидактически материали;</w:t>
      </w:r>
    </w:p>
    <w:p w:rsidR="00D97E2E" w:rsidRPr="00BF1ABD" w:rsidRDefault="00E9574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Pr="00BF1ABD">
        <w:rPr>
          <w:rFonts w:asciiTheme="minorHAnsi" w:hAnsiTheme="minorHAnsi" w:cstheme="minorHAnsi"/>
          <w:bCs/>
          <w:sz w:val="24"/>
          <w:szCs w:val="24"/>
        </w:rPr>
        <w:t>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BF1ABD" w:rsidRDefault="00DD5AE8" w:rsidP="00BF1ABD">
      <w:pPr>
        <w:pStyle w:val="Bodytext21"/>
        <w:shd w:val="clear" w:color="auto" w:fill="auto"/>
        <w:tabs>
          <w:tab w:val="left" w:pos="370"/>
        </w:tabs>
        <w:spacing w:before="0" w:line="240" w:lineRule="auto"/>
        <w:jc w:val="both"/>
        <w:rPr>
          <w:rFonts w:asciiTheme="minorHAnsi" w:hAnsiTheme="minorHAnsi" w:cstheme="minorHAnsi"/>
          <w:szCs w:val="23"/>
          <w:lang w:val="ru-RU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      </w:t>
      </w:r>
      <w:r w:rsidR="00E95749" w:rsidRPr="00BF1ABD">
        <w:rPr>
          <w:rFonts w:asciiTheme="minorHAnsi" w:hAnsiTheme="minorHAnsi" w:cstheme="minorHAnsi"/>
          <w:sz w:val="24"/>
          <w:szCs w:val="24"/>
        </w:rPr>
        <w:t>Главна цел на дисциплината е да се създадат условия за развитие на активни, съзнателни, рефлексивни и толерантни личности – бъдещи учители по химия. Очаква се в резултат от обучението студентите да са по-мотивирани за професионална дейност като учители и по-подготвени за осъществяване на рефлексивна педагогическа практика.</w:t>
      </w:r>
      <w:r w:rsidR="00E95749" w:rsidRPr="00BF1ABD">
        <w:rPr>
          <w:rFonts w:asciiTheme="minorHAnsi" w:hAnsiTheme="minorHAnsi" w:cstheme="minorHAnsi"/>
          <w:szCs w:val="23"/>
          <w:lang w:val="ru-RU"/>
        </w:rPr>
        <w:t xml:space="preserve"> </w:t>
      </w:r>
    </w:p>
    <w:p w:rsidR="00D97E2E" w:rsidRPr="00BF1ABD" w:rsidRDefault="00E95749" w:rsidP="00BF1ABD">
      <w:pPr>
        <w:pStyle w:val="Bodytext21"/>
        <w:shd w:val="clear" w:color="auto" w:fill="auto"/>
        <w:tabs>
          <w:tab w:val="left" w:pos="370"/>
        </w:tabs>
        <w:spacing w:before="120" w:line="240" w:lineRule="auto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D97E2E" w:rsidRPr="00BF1AB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BF1ABD" w:rsidRDefault="00D97E2E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E2E" w:rsidRPr="00BF1AB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1. Същност на рефлексията. Основни понятия: рефлексивна система, рефлексия и саморефлексия, рефлексивност, рефлексивно управление, рефлексивно програмиране</w:t>
            </w:r>
          </w:p>
          <w:p w:rsidR="00D97E2E" w:rsidRPr="00BF1ABD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Типове рефлексия: интелектуална, личностна, междуличностна, праксиологическа рефлексия; педагогическа рефлексия, рефлексия преди и в действието, рефлексия след действието и др.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BF1ABD" w:rsidRDefault="00D9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BF1ABD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BF1ABD" w:rsidRDefault="00E95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3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BF1ABD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97E2E" w:rsidRPr="00BF1AB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BF1ABD">
              <w:rPr>
                <w:rFonts w:asciiTheme="minorHAnsi" w:hAnsiTheme="minorHAnsi" w:cstheme="minorHAnsi"/>
              </w:rPr>
              <w:t xml:space="preserve"> 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Рефлексивен подход в обучението. Основни идеи и принципи на рефлексивния подход. Инвариант на образователна технология, основана на рефлексивния подход.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BF1ABD" w:rsidRDefault="00D97E2E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97E2E" w:rsidRPr="00BF1AB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Методи и средства, активизиращи рефлексията в обучението. Учебни задачи за рефлексия с химическо съдържание</w:t>
            </w:r>
          </w:p>
          <w:p w:rsidR="00D97E2E" w:rsidRPr="00BF1ABD" w:rsidRDefault="00E9574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Учителят по химия като изследовател и като рефлексивен практикуващ</w:t>
            </w:r>
          </w:p>
          <w:p w:rsidR="00D97E2E" w:rsidRPr="00BF1ABD" w:rsidRDefault="00E95749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BF1ABD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BF1ABD" w:rsidRDefault="00E95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3 ч.</w:t>
            </w:r>
          </w:p>
          <w:p w:rsidR="00D97E2E" w:rsidRPr="00BF1ABD" w:rsidRDefault="00E95749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BF1ABD" w:rsidRDefault="00D97E2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Василев, В.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Рефлексията в познанието, самопознанието и практиката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2006.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Василев, В., Димова, Й., Т. Коларова-Кънчева.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 и обучение – 1. част. Рефлексията – теория и практика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2005.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Василев, В. 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(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съставител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)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.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Книга за рефлексията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. Пловдив: УИ „П. Хилендарски“, 2018.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Гюрова, В. ТРЕАМ стратегия в неформалното образовани на възрастни. В: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Антология. Неформално образование.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 София: УИ „Св. Кл. Охридски“, 2018, с. 542-553.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Димова, Й., Т. Коларова-Кънчева, Т. Чехларова, Ж. Райкова.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 и обучение – 2. част. Рефлексията на учителя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2004.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Иванов, И. Добри практики в образованието. В: Годишник на ШУ „Св. К. Преславски“, т. Х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VI D, 2009-2015.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Dimova, Y. Reflective approach to education. LAMBERT Academic Pub., 2011.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after="120"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Marzano, R.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 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et al.</w:t>
      </w:r>
      <w:r w:rsidRPr="00BF1ABD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BF1ABD">
        <w:rPr>
          <w:rStyle w:val="a-size-extra-large"/>
          <w:rFonts w:asciiTheme="minorHAnsi" w:hAnsiTheme="minorHAnsi" w:cstheme="minorHAnsi"/>
          <w:i/>
          <w:sz w:val="24"/>
          <w:szCs w:val="24"/>
        </w:rPr>
        <w:t>Becoming a Reflective Teacher</w:t>
      </w:r>
      <w:r w:rsidRPr="00BF1ABD">
        <w:rPr>
          <w:rStyle w:val="a-size-extra-large"/>
          <w:rFonts w:asciiTheme="minorHAnsi" w:hAnsiTheme="minorHAnsi" w:cstheme="minorHAnsi"/>
          <w:sz w:val="24"/>
          <w:szCs w:val="24"/>
        </w:rPr>
        <w:t xml:space="preserve"> (The Classroom Strategies Series)</w:t>
      </w:r>
      <w:r w:rsidRPr="00BF1ABD">
        <w:rPr>
          <w:rFonts w:asciiTheme="minorHAnsi" w:hAnsiTheme="minorHAnsi" w:cstheme="minorHAnsi"/>
          <w:sz w:val="24"/>
          <w:szCs w:val="24"/>
        </w:rPr>
        <w:t>.</w:t>
      </w:r>
      <w:r w:rsidRPr="00BF1ABD">
        <w:rPr>
          <w:rStyle w:val="a-size-large"/>
          <w:rFonts w:asciiTheme="minorHAnsi" w:hAnsiTheme="minorHAnsi" w:cstheme="minorHAnsi"/>
          <w:sz w:val="24"/>
          <w:szCs w:val="24"/>
        </w:rPr>
        <w:t xml:space="preserve"> </w:t>
      </w:r>
      <w:r w:rsidRPr="00BF1ABD">
        <w:rPr>
          <w:rStyle w:val="a-size-large"/>
          <w:rFonts w:asciiTheme="minorHAnsi" w:hAnsiTheme="minorHAnsi" w:cstheme="minorHAnsi"/>
          <w:sz w:val="24"/>
          <w:szCs w:val="24"/>
          <w:lang w:val="en-US"/>
        </w:rPr>
        <w:t>Bloomington: Marzano Research Laboratory, 2012.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D97E2E" w:rsidRPr="00BF1ABD" w:rsidRDefault="00E95749" w:rsidP="00BF1ABD">
      <w:pPr>
        <w:spacing w:after="120" w:line="240" w:lineRule="auto"/>
        <w:ind w:firstLine="720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color w:val="000000"/>
          <w:sz w:val="24"/>
          <w:szCs w:val="24"/>
          <w:lang w:val="ru-RU"/>
        </w:rPr>
        <w:t>Интерактивни лекции, мултимедийни презентации в «облака», обсъждане на казуси, дискусии.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D97E2E" w:rsidRPr="00BF1ABD" w:rsidRDefault="00E95749" w:rsidP="00BF1ABD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color w:val="000000"/>
          <w:sz w:val="24"/>
          <w:szCs w:val="24"/>
          <w:lang w:val="ru-RU"/>
        </w:rPr>
        <w:t>Курсът завършва с текуща оценка, формирана от съдържанието на рефлексивното портфолио, което всеки студент е съставил в часовете за самостоятелна подготовка.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D97E2E" w:rsidRPr="00BF1ABD" w:rsidRDefault="00E95749" w:rsidP="00BF1ABD">
      <w:pPr>
        <w:spacing w:after="0"/>
        <w:ind w:firstLine="533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D97E2E" w:rsidRPr="00BF1ABD" w:rsidRDefault="00E95749">
      <w:pPr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доц. д-р Й. Димова</w:t>
      </w:r>
    </w:p>
    <w:sectPr w:rsidR="00D97E2E" w:rsidRPr="00BF1ABD" w:rsidSect="00D97E2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54" w:rsidRDefault="00614354" w:rsidP="00D97E2E">
      <w:pPr>
        <w:spacing w:after="0" w:line="240" w:lineRule="auto"/>
      </w:pPr>
      <w:r>
        <w:separator/>
      </w:r>
    </w:p>
  </w:endnote>
  <w:endnote w:type="continuationSeparator" w:id="0">
    <w:p w:rsidR="00614354" w:rsidRDefault="00614354" w:rsidP="00D9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54" w:rsidRDefault="00614354" w:rsidP="00D97E2E">
      <w:pPr>
        <w:spacing w:after="0" w:line="240" w:lineRule="auto"/>
      </w:pPr>
      <w:r w:rsidRPr="00D97E2E">
        <w:rPr>
          <w:color w:val="000000"/>
        </w:rPr>
        <w:separator/>
      </w:r>
    </w:p>
  </w:footnote>
  <w:footnote w:type="continuationSeparator" w:id="0">
    <w:p w:rsidR="00614354" w:rsidRDefault="00614354" w:rsidP="00D9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094"/>
    <w:multiLevelType w:val="multilevel"/>
    <w:tmpl w:val="AACCD5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2165899"/>
    <w:multiLevelType w:val="multilevel"/>
    <w:tmpl w:val="638C46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47AB3718"/>
    <w:multiLevelType w:val="multilevel"/>
    <w:tmpl w:val="B72ECDE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7A6FEA"/>
    <w:multiLevelType w:val="multilevel"/>
    <w:tmpl w:val="76C85B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2E"/>
    <w:rsid w:val="00352A89"/>
    <w:rsid w:val="00411C0E"/>
    <w:rsid w:val="00482B0C"/>
    <w:rsid w:val="00485FF0"/>
    <w:rsid w:val="005F33DD"/>
    <w:rsid w:val="00606D54"/>
    <w:rsid w:val="00614354"/>
    <w:rsid w:val="006377BC"/>
    <w:rsid w:val="006E5ECC"/>
    <w:rsid w:val="0075529E"/>
    <w:rsid w:val="00763071"/>
    <w:rsid w:val="00897A4D"/>
    <w:rsid w:val="009631D9"/>
    <w:rsid w:val="009A2ADA"/>
    <w:rsid w:val="00AF33FC"/>
    <w:rsid w:val="00B91F9B"/>
    <w:rsid w:val="00BE36C2"/>
    <w:rsid w:val="00BF1ABD"/>
    <w:rsid w:val="00D61880"/>
    <w:rsid w:val="00D82808"/>
    <w:rsid w:val="00D97E2E"/>
    <w:rsid w:val="00DB4B6C"/>
    <w:rsid w:val="00DD5AE8"/>
    <w:rsid w:val="00E227B8"/>
    <w:rsid w:val="00E95749"/>
    <w:rsid w:val="00F2499F"/>
    <w:rsid w:val="00F4115C"/>
    <w:rsid w:val="00F5473A"/>
    <w:rsid w:val="00F664A2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A5059-FE76-4095-A66D-10ACF4DF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7E2E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D97E2E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D97E2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D97E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D97E2E"/>
    <w:rPr>
      <w:color w:val="0563C1"/>
      <w:u w:val="single"/>
    </w:rPr>
  </w:style>
  <w:style w:type="paragraph" w:styleId="BodyText2">
    <w:name w:val="Body Text 2"/>
    <w:basedOn w:val="Normal"/>
    <w:rsid w:val="00D97E2E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D97E2E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D97E2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D97E2E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D97E2E"/>
    <w:pPr>
      <w:ind w:left="720"/>
    </w:pPr>
  </w:style>
  <w:style w:type="character" w:customStyle="1" w:styleId="Bodytext20">
    <w:name w:val="Body text (2)_"/>
    <w:rsid w:val="00D97E2E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D97E2E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D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97E2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D97E2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D97E2E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rsid w:val="00D97E2E"/>
    <w:rPr>
      <w:rFonts w:eastAsia="Times New Roman"/>
      <w:sz w:val="21"/>
      <w:szCs w:val="21"/>
      <w:shd w:val="clear" w:color="auto" w:fill="FFFFFF"/>
    </w:rPr>
  </w:style>
  <w:style w:type="paragraph" w:styleId="BodyText0">
    <w:name w:val="Body Text"/>
    <w:basedOn w:val="Normal"/>
    <w:rsid w:val="00D97E2E"/>
    <w:pPr>
      <w:shd w:val="clear" w:color="auto" w:fill="FFFFFF"/>
      <w:suppressAutoHyphens w:val="0"/>
      <w:spacing w:after="0" w:line="250" w:lineRule="exact"/>
      <w:jc w:val="both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Bodytext115pt">
    <w:name w:val="Body text + 11;5 pt"/>
    <w:rsid w:val="00D97E2E"/>
    <w:rPr>
      <w:rFonts w:eastAsia="Times New Roman"/>
      <w:sz w:val="23"/>
      <w:szCs w:val="23"/>
      <w:shd w:val="clear" w:color="auto" w:fill="FFFFFF"/>
    </w:rPr>
  </w:style>
  <w:style w:type="character" w:customStyle="1" w:styleId="a-size-extra-large">
    <w:name w:val="a-size-extra-large"/>
    <w:basedOn w:val="DefaultParagraphFont"/>
    <w:rsid w:val="00D97E2E"/>
  </w:style>
  <w:style w:type="character" w:customStyle="1" w:styleId="a-size-large">
    <w:name w:val="a-size-large"/>
    <w:basedOn w:val="DefaultParagraphFont"/>
    <w:rsid w:val="00D97E2E"/>
  </w:style>
  <w:style w:type="character" w:customStyle="1" w:styleId="author">
    <w:name w:val="author"/>
    <w:basedOn w:val="DefaultParagraphFont"/>
    <w:rsid w:val="00D9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2019-03-11T07:36:00Z</cp:lastPrinted>
  <dcterms:created xsi:type="dcterms:W3CDTF">2019-03-15T14:17:00Z</dcterms:created>
  <dcterms:modified xsi:type="dcterms:W3CDTF">2019-03-15T14:17:00Z</dcterms:modified>
</cp:coreProperties>
</file>